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Comisión de Procedimiento Tributario de la AAEF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Reunión del miércoles 13 de mayo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Temario propuesto para la reunión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1. Novedades normativas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Tribunal Fiscal de Apelaciones de la Provincia de Buenos Aires:  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a) Nuevos límites de acceso: Ley 15.558 publicada en el BO prov. de Bs. As. el día 15/12/2025 y con vigencia a partir del 1/1/2026.</w:t>
      </w:r>
    </w:p>
    <w:p w:rsidR="00000000" w:rsidDel="00000000" w:rsidP="00000000" w:rsidRDefault="00000000" w:rsidRPr="00000000" w14:paraId="0000000B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firstLine="72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b) Constitución de domicilio electrónico: Art. 120 bis (Incorporado por Ley 15558) A fin de tener por cumplimentado el requisito de constitución de domicilio, de conformidad a lo dispuesto en el artículo anterior, se deberá constituir de manera obligatoria un domicilio electrónico, en los términos de la Ley N° 15.230 y su Decreto reglamentario N° 428/2021.  La Resolución N° 460 del Tribunal Fiscal de Apelación de la Provincia de Buenos Aires de fecha 10/04/2026, implementa el uso obligatorio del domicilio electrónico en el marco de los recursos de apelación, en línea con lo dispuesto por el art. 120 bis del Código Fiscal (Ley 15.558). A partir del 4 de mayo de 2026, los recurrentes deberán constituirlo obligatoriamente, bajo apercibimiento de tenerlo por constituido en los estrados del Tribunal en caso de incumplimiento.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4"/>
          <w:szCs w:val="24"/>
          <w:rtl w:val="0"/>
        </w:rPr>
        <w:t xml:space="preserve">2. Novedades jurisprudenciales 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2.1. Intereses anticipos. Ejecución mal iniciada. Imposición de costas “ARCA C/ Carbonaro Ariel Matías s/ Ejecución Fiscal - ARCA (Ex AFIP).  CNACAF, Sala V, 5/02/2026. (pendiente de reunión anterior)</w:t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2.2. Procedencia de la acción declarativa de certeza. El acto en ciernes conforme criterio de la Procuración General de la Nación. Revisión del dictamen “Festival de Doma”. UAR c/EN AFIP-DGI. Dictamen del 12/03/2026. (pendiente de reunión anterior)</w:t>
      </w:r>
    </w:p>
    <w:p w:rsidR="00000000" w:rsidDel="00000000" w:rsidP="00000000" w:rsidRDefault="00000000" w:rsidRPr="00000000" w14:paraId="00000015">
      <w:pPr>
        <w:spacing w:line="240" w:lineRule="auto"/>
        <w:ind w:firstLine="54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2.3. Competencia del TFN en casos de Actualización de quebrantos, interpretación normativa, error excusable. Fallos Conexpor y Genneia, TFN, Sala B, 16/04/2026.</w:t>
      </w:r>
    </w:p>
    <w:p w:rsidR="00000000" w:rsidDel="00000000" w:rsidP="00000000" w:rsidRDefault="00000000" w:rsidRPr="00000000" w14:paraId="00000018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40" w:lineRule="auto"/>
        <w:ind w:firstLine="540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2.4. Responsabilidad solidaria. Responsabilidad tributaria: oponibilidad y riesgo. Fallo “Clima de Montaña S.A. y Barboza”. TFN. Sala B, 27/02/2026.</w:t>
      </w:r>
    </w:p>
    <w:p w:rsidR="00000000" w:rsidDel="00000000" w:rsidP="00000000" w:rsidRDefault="00000000" w:rsidRPr="00000000" w14:paraId="0000001B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2.5. Cuando el error es evidente, el Fisco no puede exigir trámite de repetición. “Uribelarrea, Francisco”. CNACAF. Sala I, 23/04/2026.</w:t>
      </w:r>
    </w:p>
    <w:p w:rsidR="00000000" w:rsidDel="00000000" w:rsidP="00000000" w:rsidRDefault="00000000" w:rsidRPr="00000000" w14:paraId="0000001E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2.6. Repetición. Falta de presentación de la DJ Rectificativa. Causa “Lufkin Argentina SRL”, Dictamen de la PGN del 24/12/2025.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  <w:rtl w:val="0"/>
        </w:rPr>
        <w:t xml:space="preserve">2.7. El Bloqueo de la CUIT. Procedencia de la acción de amparo. “ SEO S.A. c/ AFIP”. C. Federal de Mar del Plata, 13/02/2026.</w:t>
      </w:r>
    </w:p>
    <w:p w:rsidR="00000000" w:rsidDel="00000000" w:rsidP="00000000" w:rsidRDefault="00000000" w:rsidRPr="00000000" w14:paraId="00000024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2.8. Ajuste por facturas apoc. Fallo PADIC SA. TFN, Sala C, 10/11/2025.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firstLine="425"/>
        <w:jc w:val="both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